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Style w:val="Strong"/>
        </w:rPr>
        <w:t>An:</w:t>
      </w:r>
      <w:r>
        <w:rPr/>
        <w:br/>
        <w:t>Amt für Umweltschutz des Rems-Murr-Kreises</w:t>
        <w:br/>
        <w:t xml:space="preserve">Stuttgarter Straße 110 </w:t>
        <w:br/>
        <w:t xml:space="preserve">71328 Waiblingen </w:t>
      </w:r>
    </w:p>
    <w:p>
      <w:pPr>
        <w:pStyle w:val="BodyText"/>
        <w:rPr/>
      </w:pPr>
      <w:r>
        <w:rPr/>
        <w:t>elektronisch per E-Mail an:</w:t>
        <w:br/>
        <w:t>Verfahren-WP-AspachOppenweiler@rems-murr-kreis.de</w:t>
      </w:r>
    </w:p>
    <w:p>
      <w:pPr>
        <w:pStyle w:val="BodyText"/>
        <w:rPr/>
      </w:pPr>
      <w:r>
        <w:rPr>
          <w:rStyle w:val="Strong"/>
        </w:rPr>
        <w:t>Von:</w:t>
      </w:r>
      <w:r>
        <w:rPr>
          <w:rStyle w:val="Strong"/>
          <w:b w:val="false"/>
          <w:bCs w:val="false"/>
        </w:rPr>
        <w:br/>
      </w:r>
      <w:r>
        <w:rPr>
          <w:b w:val="false"/>
          <w:bCs w:val="false"/>
        </w:rPr>
        <w:br/>
        <w:br/>
        <w:br/>
      </w:r>
      <w:r>
        <w:rPr/>
        <w:t>71546 Aspach - Kleinaspach</w:t>
      </w:r>
    </w:p>
    <w:p>
      <w:pPr>
        <w:pStyle w:val="BodyText"/>
        <w:jc w:val="end"/>
        <w:rPr/>
      </w:pPr>
      <w:r>
        <w:rPr/>
        <w:fldChar w:fldCharType="begin"/>
      </w:r>
      <w:r>
        <w:rPr/>
        <w:instrText xml:space="preserve"> DATE \@"dd.MM.yyyy" </w:instrText>
      </w:r>
      <w:r>
        <w:rPr/>
        <w:fldChar w:fldCharType="separate"/>
      </w:r>
      <w:r>
        <w:rPr/>
        <w:t>05.12.2025</w:t>
      </w:r>
      <w:r>
        <w:rPr/>
        <w:fldChar w:fldCharType="end"/>
      </w:r>
    </w:p>
    <w:p>
      <w:pPr>
        <w:pStyle w:val="Heading2"/>
        <w:numPr>
          <w:ilvl w:val="1"/>
          <w:numId w:val="1"/>
        </w:numPr>
        <w:rPr/>
      </w:pPr>
      <w:r>
        <w:rPr/>
        <w:t>Einwendung nach § 10 Abs. 3 BImSchG gegen das Vorhaben „Windpark Aspach–Oppenweiler“ – persönliche Betroffenheit als Einwohner/in von Kleinaspach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Sehr geehrte Damen und Herren,</w:t>
      </w:r>
    </w:p>
    <w:p>
      <w:pPr>
        <w:pStyle w:val="BodyText"/>
        <w:rPr/>
      </w:pPr>
      <w:r>
        <w:rPr/>
        <w:t>hiermit erhebe ich fristgerecht Einwendung gegen das Vorhaben „Windpark Aspach–Oppenweiler“.</w:t>
      </w:r>
    </w:p>
    <w:p>
      <w:pPr>
        <w:pStyle w:val="BodyText"/>
        <w:rPr/>
      </w:pPr>
      <w:r>
        <w:rPr/>
        <w:t xml:space="preserve">Ich bin als Einwohner/in des Ortsteils </w:t>
      </w:r>
      <w:r>
        <w:rPr>
          <w:rStyle w:val="Strong"/>
        </w:rPr>
        <w:t>Kleinaspach</w:t>
      </w:r>
      <w:r>
        <w:rPr/>
        <w:t xml:space="preserve"> in besonderem Maße betroffen, da die vier nächstgelegenen Windenergieanlagen (</w:t>
      </w:r>
      <w:r>
        <w:rPr>
          <w:rStyle w:val="Strong"/>
        </w:rPr>
        <w:t>WEA 1–4</w:t>
      </w:r>
      <w:r>
        <w:rPr/>
        <w:t xml:space="preserve">) gemäß den eingereichten Antragsunterlagen </w:t>
      </w:r>
      <w:r>
        <w:rPr>
          <w:rStyle w:val="Strong"/>
        </w:rPr>
        <w:t>direkt nördlich der Kleinaspacher Wohnbebauung</w:t>
      </w:r>
      <w:r>
        <w:rPr/>
        <w:t xml:space="preserve"> errichtet werden sollen. Die Anlagen liegen auf oder nahe den Flurstücken </w:t>
      </w:r>
      <w:r>
        <w:rPr>
          <w:rStyle w:val="Strong"/>
        </w:rPr>
        <w:t>3544/40</w:t>
      </w:r>
      <w:r>
        <w:rPr/>
        <w:t xml:space="preserve">, </w:t>
      </w:r>
      <w:r>
        <w:rPr>
          <w:rStyle w:val="Strong"/>
        </w:rPr>
        <w:t>3544/41</w:t>
      </w:r>
      <w:r>
        <w:rPr/>
        <w:t xml:space="preserve"> und </w:t>
      </w:r>
      <w:r>
        <w:rPr>
          <w:rStyle w:val="Strong"/>
        </w:rPr>
        <w:t>1717/39</w:t>
      </w:r>
      <w:r>
        <w:rPr/>
        <w:t xml:space="preserve"> der Gemarkung Kleinaspach .</w:t>
      </w:r>
    </w:p>
    <w:p>
      <w:pPr>
        <w:pStyle w:val="BodyText"/>
        <w:rPr/>
      </w:pPr>
      <w:r>
        <w:rPr/>
        <w:t xml:space="preserve">Damit befinde ich mich </w:t>
      </w:r>
      <w:r>
        <w:rPr>
          <w:rStyle w:val="Strong"/>
        </w:rPr>
        <w:t>in unmittelbarer Schall-, Nachtlicht-, Sicht- und Schattenexposition</w:t>
      </w:r>
      <w:r>
        <w:rPr/>
        <w:t>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1. Persönliche Betroffenheit aufgrund der tallagenbedingten Schallverstärkung</w:t>
      </w:r>
    </w:p>
    <w:p>
      <w:pPr>
        <w:pStyle w:val="BodyText"/>
        <w:rPr/>
      </w:pPr>
      <w:r>
        <w:rPr/>
        <w:t xml:space="preserve">Kleinaspach liegt deutlich </w:t>
      </w:r>
      <w:r>
        <w:rPr>
          <w:rStyle w:val="Strong"/>
        </w:rPr>
        <w:t>tiefer</w:t>
      </w:r>
      <w:r>
        <w:rPr/>
        <w:t xml:space="preserve"> als die Anlagenstandorte.</w:t>
        <w:br/>
        <w:t>Die Topographie (Senkenlage + Waldhochfläche nördlich) führt nach anerkannten akustischen Grundsätzen zu: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Schallfokussierung</w:t>
      </w:r>
      <w:r>
        <w:rPr/>
        <w:t xml:space="preserve"> in Tallagen,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verstärktem Nachtlärm bei Inversionswetterlagen</w:t>
      </w:r>
      <w:r>
        <w:rPr/>
        <w:t>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Kaltluftabfluss</w:t>
      </w:r>
      <w:r>
        <w:rPr/>
        <w:t>, der Schall zielgerichtet in den Ort transportiert.</w:t>
      </w:r>
    </w:p>
    <w:p>
      <w:pPr>
        <w:pStyle w:val="BodyText"/>
        <w:rPr/>
      </w:pPr>
      <w:r>
        <w:rPr/>
        <w:t xml:space="preserve">Diese Effekte werden in den eingereichten Schallgutachten </w:t>
      </w:r>
      <w:r>
        <w:rPr>
          <w:rStyle w:val="Strong"/>
        </w:rPr>
        <w:t>nicht berücksichtigt</w:t>
      </w:r>
      <w:r>
        <w:rPr/>
        <w:t xml:space="preserve">, obwohl der </w:t>
      </w:r>
      <w:r>
        <w:rPr>
          <w:rStyle w:val="Strong"/>
        </w:rPr>
        <w:t>VGH Baden-Württemberg (10 S 1279/17)</w:t>
      </w:r>
      <w:r>
        <w:rPr/>
        <w:t xml:space="preserve"> ausdrücklich verlangt, dass </w:t>
      </w:r>
      <w:r>
        <w:rPr>
          <w:rStyle w:val="Strong"/>
        </w:rPr>
        <w:t>alle standortbezogenen Gegebenheiten</w:t>
      </w:r>
      <w:r>
        <w:rPr/>
        <w:t xml:space="preserve"> zu berücksichtigen sind.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2. Nicht belastbare Schallprognosen (Prototyp Vestas V172–7.2 MW)</w:t>
      </w:r>
    </w:p>
    <w:p>
      <w:pPr>
        <w:pStyle w:val="BodyText"/>
        <w:rPr/>
      </w:pPr>
      <w:r>
        <w:rPr/>
        <w:t xml:space="preserve">Die geplanten Anlagen sind ein </w:t>
      </w:r>
      <w:r>
        <w:rPr>
          <w:rStyle w:val="Strong"/>
        </w:rPr>
        <w:t>Großrotor-Prototyp</w:t>
      </w:r>
      <w:r>
        <w:rPr/>
        <w:t xml:space="preserve">, zu dem </w:t>
      </w:r>
      <w:r>
        <w:rPr>
          <w:rStyle w:val="Strong"/>
        </w:rPr>
        <w:t>keine realen Messdaten existieren</w:t>
      </w:r>
      <w:r>
        <w:rPr/>
        <w:t>.</w:t>
      </w:r>
    </w:p>
    <w:p>
      <w:pPr>
        <w:pStyle w:val="BodyText"/>
        <w:rPr/>
      </w:pPr>
      <w:r>
        <w:rPr/>
        <w:t xml:space="preserve">Die Gutachten basieren ausschließlich auf </w:t>
      </w:r>
      <w:r>
        <w:rPr>
          <w:rStyle w:val="Strong"/>
        </w:rPr>
        <w:t>Herstellerangaben</w:t>
      </w:r>
      <w:r>
        <w:rPr/>
        <w:t>, was laut Rechtsprechung unzulässig ist: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OVG NRW (8 B 2179/18):</w:t>
      </w:r>
      <w:r>
        <w:rPr/>
        <w:t xml:space="preserve"> „Prognoseunsicherheiten bei neuen oder nicht vermessenen Anlagentypen gehen zulasten des Betreibers.“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OVG Schleswig (1 LA 59/20):</w:t>
      </w:r>
      <w:r>
        <w:rPr/>
        <w:t xml:space="preserve"> „Herstellerangaben ersetzen keine standortbezogenen Realmessungen.“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BVerwG (7 C 30.06):</w:t>
      </w:r>
      <w:r>
        <w:rPr/>
        <w:t xml:space="preserve"> Bei unklaren oder unsicheren Daten ist die Genehmigung zu versagen („Vorsorgegrundsatz“).</w:t>
      </w:r>
    </w:p>
    <w:p>
      <w:pPr>
        <w:pStyle w:val="BodyText"/>
        <w:rPr/>
      </w:pPr>
      <w:r>
        <w:rPr/>
        <w:t>Daher muss die Behörde zwingend davon ausgehen, dass die tatsächlichen Werte höher liegen könnten als prognostiziert.</w:t>
      </w:r>
    </w:p>
    <w:p>
      <w:pPr>
        <w:pStyle w:val="BodyText"/>
        <w:rPr/>
      </w:pPr>
      <w:r>
        <w:rPr/>
        <w:t>Dies betrifft insbesondere: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tieffrequenten Schall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Amplitude-Modulation (Wummern)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Nachtlärm bei Inversion</w:t>
      </w:r>
    </w:p>
    <w:p>
      <w:pPr>
        <w:pStyle w:val="BodyText"/>
        <w:rPr/>
      </w:pPr>
      <w:r>
        <w:rPr/>
        <w:t xml:space="preserve">All dies wurde im Gutachten </w:t>
      </w:r>
      <w:r>
        <w:rPr>
          <w:rStyle w:val="Strong"/>
        </w:rPr>
        <w:t>nicht</w:t>
      </w:r>
      <w:r>
        <w:rPr/>
        <w:t xml:space="preserve"> geprüft.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3. Unzutreffende Schattenwurfbewertung</w:t>
      </w:r>
    </w:p>
    <w:p>
      <w:pPr>
        <w:pStyle w:val="BodyText"/>
        <w:rPr/>
      </w:pPr>
      <w:r>
        <w:rPr/>
        <w:t xml:space="preserve">Die Anlagen erzeugen </w:t>
      </w:r>
      <w:r>
        <w:rPr>
          <w:rStyle w:val="Strong"/>
        </w:rPr>
        <w:t>beträchtlichen Morgen- und Abendschatten</w:t>
      </w:r>
      <w:r>
        <w:rPr/>
        <w:t xml:space="preserve"> auf Kleinaspach.</w:t>
        <w:br/>
        <w:t>Die Tabellen in den Schattenwurfunterlagen belegen erhebliche Belastungen mehrerer Aspacher Ortsteile, darunter auch Kleinaspach-Nahbereiche.</w:t>
      </w:r>
    </w:p>
    <w:p>
      <w:pPr>
        <w:pStyle w:val="BodyText"/>
        <w:rPr/>
      </w:pPr>
      <w:r>
        <w:rPr/>
        <w:t xml:space="preserve">Meteorologische Effekte wurden </w:t>
      </w:r>
      <w:r>
        <w:rPr>
          <w:rStyle w:val="Strong"/>
        </w:rPr>
        <w:t>nicht korrekt simuliert</w:t>
      </w:r>
      <w:r>
        <w:rPr/>
        <w:t xml:space="preserve">, obwohl diese laut </w:t>
      </w:r>
      <w:r>
        <w:rPr>
          <w:rStyle w:val="Strong"/>
        </w:rPr>
        <w:t>LAI-Hinweisen 2002</w:t>
      </w:r>
      <w:r>
        <w:rPr/>
        <w:t xml:space="preserve"> verpflichtend zu berücksichtigen sind.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4. Waldumwandlung – erhebliche Auswirkungen auf Strömung und Ökologie</w:t>
      </w:r>
    </w:p>
    <w:p>
      <w:pPr>
        <w:pStyle w:val="BodyText"/>
        <w:rPr/>
      </w:pPr>
      <w:r>
        <w:rPr/>
        <w:t xml:space="preserve">Die Unterlagen weisen eine </w:t>
      </w:r>
      <w:r>
        <w:rPr>
          <w:rStyle w:val="Strong"/>
        </w:rPr>
        <w:t>Rodung von 5,5 ha dauerhaftem Wald</w:t>
      </w:r>
      <w:r>
        <w:rPr/>
        <w:t xml:space="preserve"> und </w:t>
      </w:r>
      <w:r>
        <w:rPr>
          <w:rStyle w:val="Strong"/>
        </w:rPr>
        <w:t>über 4 ha temporärer Flächenverluste</w:t>
      </w:r>
      <w:r>
        <w:rPr/>
        <w:t xml:space="preserve"> aus. Waldumwandlung dieser Größenordnung ist nach § 9 LWaldG Baden-Württemberg nur zulässig, wenn: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>
          <w:rStyle w:val="Strong"/>
        </w:rPr>
        <w:t>alle Alternativen ausgeschlossen</w:t>
      </w:r>
      <w:r>
        <w:rPr/>
        <w:t xml:space="preserve"> wurden,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 xml:space="preserve">der Eingriff </w:t>
      </w:r>
      <w:r>
        <w:rPr>
          <w:rStyle w:val="Strong"/>
        </w:rPr>
        <w:t>unvermeidbar</w:t>
      </w:r>
      <w:r>
        <w:rPr/>
        <w:t xml:space="preserve"> ist,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 xml:space="preserve">und eine </w:t>
      </w:r>
      <w:r>
        <w:rPr>
          <w:rStyle w:val="Strong"/>
        </w:rPr>
        <w:t>funktionsgleiche</w:t>
      </w:r>
      <w:r>
        <w:rPr/>
        <w:t xml:space="preserve"> Kompensation erfolgt.</w:t>
      </w:r>
    </w:p>
    <w:p>
      <w:pPr>
        <w:pStyle w:val="BodyText"/>
        <w:rPr/>
      </w:pPr>
      <w:r>
        <w:rPr/>
        <w:t>Keines dieser Kriterien ist erfüllt.</w:t>
      </w:r>
    </w:p>
    <w:p>
      <w:pPr>
        <w:pStyle w:val="BodyText"/>
        <w:rPr/>
      </w:pPr>
      <w:r>
        <w:rPr/>
        <w:t xml:space="preserve">Zudem verändert der Wegfall großer Waldflächen die </w:t>
      </w:r>
      <w:r>
        <w:rPr>
          <w:rStyle w:val="Strong"/>
        </w:rPr>
        <w:t>Wind- und Schallströmung</w:t>
      </w:r>
      <w:r>
        <w:rPr/>
        <w:t xml:space="preserve"> massiv, was im Schallgutachten </w:t>
      </w:r>
      <w:r>
        <w:rPr>
          <w:rStyle w:val="Strong"/>
        </w:rPr>
        <w:t>nicht berücksichtigt</w:t>
      </w:r>
      <w:r>
        <w:rPr/>
        <w:t xml:space="preserve"> wurde.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5. Wasserrechtliche Risiken (besonders bei WEA 4)</w:t>
      </w:r>
    </w:p>
    <w:p>
      <w:pPr>
        <w:pStyle w:val="BodyText"/>
        <w:rPr/>
      </w:pPr>
      <w:r>
        <w:rPr/>
        <w:t>Kleinaspach befindet sich im Einwirkungsbereich der Quellgebiete im südlichen Projektgebiet.</w:t>
        <w:br/>
        <w:t xml:space="preserve">Für WEA 4 weisen die Unterlagen einen Einflussbereich auf wasserführende Strukturen aus, der </w:t>
      </w:r>
      <w:r>
        <w:rPr>
          <w:rStyle w:val="Strong"/>
        </w:rPr>
        <w:t>nicht ausreichend untersucht</w:t>
      </w:r>
      <w:r>
        <w:rPr/>
        <w:t xml:space="preserve"> ist.</w:t>
      </w:r>
    </w:p>
    <w:p>
      <w:pPr>
        <w:pStyle w:val="BodyText"/>
        <w:rPr/>
      </w:pPr>
      <w:r>
        <w:rPr/>
        <w:t xml:space="preserve">Nach </w:t>
      </w:r>
      <w:r>
        <w:rPr>
          <w:rStyle w:val="Strong"/>
        </w:rPr>
        <w:t>§ 47 WHG</w:t>
      </w:r>
      <w:r>
        <w:rPr/>
        <w:t xml:space="preserve"> ist bereits die </w:t>
      </w:r>
      <w:r>
        <w:rPr>
          <w:rStyle w:val="Emphasis"/>
        </w:rPr>
        <w:t>Gefahr einer nachteiligen Veränderung</w:t>
      </w:r>
      <w:r>
        <w:rPr/>
        <w:t xml:space="preserve"> ausreichend, um die Genehmigung zu versagen.</w:t>
      </w:r>
    </w:p>
    <w:p>
      <w:pPr>
        <w:pStyle w:val="BodyText"/>
        <w:rPr/>
      </w:pPr>
      <w:r>
        <w:rPr/>
        <w:t>Es fehlen: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hydrogeologische Risikobewertungen,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Standsicherheitsanalysen bzgl. Druckwellen und Erschütterungen,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Untersuchungen des Einflusses auf Quellschüttung und Wasserqualität.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6. Unvollständige Umweltverträglichkeitsprüfung (UVP)</w:t>
      </w:r>
    </w:p>
    <w:p>
      <w:pPr>
        <w:pStyle w:val="BodyText"/>
        <w:rPr/>
      </w:pPr>
      <w:r>
        <w:rPr/>
        <w:t xml:space="preserve">Die UVP verstößt gegen § 8 UVPG, da </w:t>
      </w:r>
      <w:r>
        <w:rPr>
          <w:rStyle w:val="Strong"/>
        </w:rPr>
        <w:t>kumulative Wirkungen</w:t>
      </w:r>
      <w:r>
        <w:rPr/>
        <w:t xml:space="preserve"> nicht bewertet wurden: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Erschütterungen + Bodenverdichtung + Waldverlust + Schallmodulation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gleichzeitige Eingriffe in Quellbereiche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Auswirkungen auf geschützte Arten (Rotmilan, Fledermäuse, Kolkrabe)</w:t>
      </w:r>
    </w:p>
    <w:p>
      <w:pPr>
        <w:pStyle w:val="BodyText"/>
        <w:rPr/>
      </w:pPr>
      <w:r>
        <w:rPr/>
        <w:t>Auch die Alternativenprüfung genügt weder § 8 Abs. 1 UVPG noch der BVerwG-Rechtsprechung zu Mindestanforderungen.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7. Gesundheitliche Belastungen – unzureichend bewertet</w:t>
      </w:r>
    </w:p>
    <w:p>
      <w:pPr>
        <w:pStyle w:val="BodyText"/>
        <w:rPr/>
      </w:pPr>
      <w:r>
        <w:rPr/>
        <w:t>Ich befürchte aufgrund der vorliegenden Prognoseunsicherheiten erhebliche gesundheitliche Auswirkungen: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Schlafstörungen durch Nachtlärm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Belastungen durch tieffrequenten Schall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Stressreaktionen durch periodischen Schattenwurf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psychische Beeinträchtigungen durch permanente Sichtdominanz</w:t>
      </w:r>
    </w:p>
    <w:p>
      <w:pPr>
        <w:pStyle w:val="BodyText"/>
        <w:rPr/>
      </w:pPr>
      <w:r>
        <w:rPr/>
        <w:t>Dies ist durch mehrere Fachbehörden bekannt und hätte zwingend geprüft werden müssen (§ 5 Abs. 1 Nr. 1 und 2 BImSchG).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ANTRAG</w:t>
      </w:r>
    </w:p>
    <w:p>
      <w:pPr>
        <w:pStyle w:val="BodyText"/>
        <w:rPr/>
      </w:pPr>
      <w:r>
        <w:rPr/>
        <w:t>Ich beantrage daher: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rPr/>
      </w:pPr>
      <w:r>
        <w:rPr>
          <w:rStyle w:val="Strong"/>
        </w:rPr>
        <w:t>Ablehnung der beantragten Genehmigung</w:t>
      </w:r>
      <w:r>
        <w:rPr/>
        <w:t>, soweit nicht sämtliche Lärm-, Wasser-, Wald- und UVP-Risiken mit höchster Sicherheit ausgeschlossen werden können;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rPr/>
      </w:pPr>
      <w:r>
        <w:rPr/>
        <w:t>Hilfsweise: umfassende Nachforderungen zu Schall, Schatten, Wasserrecht und UVP;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rPr/>
      </w:pPr>
      <w:r>
        <w:rPr/>
        <w:t xml:space="preserve">In jedem Fall: </w:t>
      </w:r>
      <w:r>
        <w:rPr>
          <w:rStyle w:val="Strong"/>
        </w:rPr>
        <w:t>Einzelfallprüfung</w:t>
      </w:r>
      <w:r>
        <w:rPr/>
        <w:t xml:space="preserve"> für Kleinaspach aufgrund der besonderen topografischen und siedlungsnahen Lage.</w:t>
      </w:r>
    </w:p>
    <w:p>
      <w:pPr>
        <w:pStyle w:val="BodyText"/>
        <w:rPr/>
      </w:pPr>
      <w:r>
        <w:rPr/>
        <w:t>Mit freundlichen Grüßen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[Unterschrift / Datum]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329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KLEINASPACH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5" wp14:anchorId="5B3BFAE8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1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5B3BFAE8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KLEINASPACH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5" wp14:anchorId="5B3BFAE8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2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5B3BFAE8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user"/>
    <w:next w:val="BodyText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berschriftuser"/>
    <w:next w:val="BodyText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user"/>
    <w:next w:val="BodyText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Nummerierungszeichenuser" w:customStyle="1">
    <w:name w:val="Nummerierungszeichen (user)"/>
    <w:qFormat/>
    <w:rPr/>
  </w:style>
  <w:style w:type="character" w:styleId="LineNumber">
    <w:name w:val="line number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/>
  </w:style>
  <w:style w:type="paragraph" w:styleId="HorizontaleLinieuser" w:customStyle="1">
    <w:name w:val="Horizontale Lini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Kopf-undFuzeile" w:customStyle="1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undFuzeile"/>
    <w:pPr/>
    <w:rPr/>
  </w:style>
  <w:style w:type="paragraph" w:styleId="Footer">
    <w:name w:val="footer"/>
    <w:basedOn w:val="Kopf-undFuzeile"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4</Pages>
  <Words>649</Words>
  <Characters>4667</Characters>
  <CharactersWithSpaces>5230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2025-12-05T16:09:54Z</dcterms:created>
  <dc:creator/>
  <dc:description/>
  <dc:language>de-DE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