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/>
      </w:pPr>
      <w:r>
        <w:rPr>
          <w:rStyle w:val="StrongEmphasis"/>
        </w:rPr>
        <w:t>An:</w:t>
      </w:r>
      <w:r>
        <w:rPr/>
        <w:br/>
        <w:t>Amt für Umweltschutz des Rems-Murr-Kreises</w:t>
        <w:br/>
        <w:t xml:space="preserve">Stuttgarter Straße 110 </w:t>
        <w:br/>
        <w:t>71328 Waiblingen</w:t>
      </w:r>
    </w:p>
    <w:p>
      <w:pPr>
        <w:pStyle w:val="Textbody"/>
        <w:rPr/>
      </w:pPr>
      <w:r>
        <w:rPr/>
        <w:t>elektronisch per E-Mail an:</w:t>
        <w:br/>
        <w:t>Verfahren-WP-AspachOppenweiler@rems-murr-kreis.de</w:t>
      </w:r>
    </w:p>
    <w:p>
      <w:pPr>
        <w:pStyle w:val="Textbody"/>
        <w:rPr/>
      </w:pPr>
      <w:r>
        <w:rPr>
          <w:rStyle w:val="StrongEmphasis"/>
        </w:rPr>
        <w:t>Von:</w:t>
      </w:r>
    </w:p>
    <w:p>
      <w:pPr>
        <w:pStyle w:val="Textbody"/>
        <w:rPr/>
      </w:pPr>
      <w:r>
        <w:rPr>
          <w:rStyle w:val="Emphasis"/>
          <w:i w:val="false"/>
          <w:iCs w:val="false"/>
        </w:rPr>
        <w:br/>
        <w:br/>
        <w:br/>
        <w:t>71546 Aspach</w:t>
      </w:r>
    </w:p>
    <w:p>
      <w:pPr>
        <w:pStyle w:val="Textbody"/>
        <w:rPr/>
      </w:pPr>
      <w:r>
        <w:rPr/>
      </w:r>
    </w:p>
    <w:p>
      <w:pPr>
        <w:pStyle w:val="Heading2"/>
        <w:rPr/>
      </w:pPr>
      <w:r>
        <w:rPr/>
        <w:t>Einwendung nach § 10 Abs. 3 BImSchG – Einwendung der Bürgerinnen und Bürger der Gemeinde Aspach</w:t>
      </w:r>
    </w:p>
    <w:p>
      <w:pPr>
        <w:pStyle w:val="Textbody"/>
        <w:rPr/>
      </w:pPr>
      <w:r>
        <w:rPr/>
        <w:t>Sehr geehrte Damen und Herren,</w:t>
      </w:r>
    </w:p>
    <w:p>
      <w:pPr>
        <w:pStyle w:val="Textbody"/>
        <w:rPr/>
      </w:pPr>
      <w:r>
        <w:rPr/>
        <w:t xml:space="preserve">hiermit erheben wir als Bürgerinnen und Bürger der Gemeinde </w:t>
      </w:r>
      <w:r>
        <w:rPr>
          <w:rStyle w:val="StrongEmphasis"/>
        </w:rPr>
        <w:t>Aspach</w:t>
      </w:r>
      <w:r>
        <w:rPr/>
        <w:t xml:space="preserve"> form- und fristgerecht Einwendung gegen das Vorhaben „Windpark Aspach–Oppenweiler“.</w:t>
      </w:r>
    </w:p>
    <w:p>
      <w:pPr>
        <w:pStyle w:val="Textbody"/>
        <w:rPr/>
      </w:pPr>
      <w:r>
        <w:rPr/>
        <w:t xml:space="preserve">Die Unterlagen zeigen, dass die Aspacher Ortsteile </w:t>
      </w:r>
      <w:r>
        <w:rPr>
          <w:rStyle w:val="StrongEmphasis"/>
        </w:rPr>
        <w:t>Kleinaspach, Altersberg, Allmersbach am Weinberg, Rietenau und Steinhausen</w:t>
      </w:r>
      <w:r>
        <w:rPr/>
        <w:t xml:space="preserve"> in unterschiedlich starkem Maße </w:t>
      </w:r>
      <w:r>
        <w:rPr>
          <w:rStyle w:val="StrongEmphasis"/>
        </w:rPr>
        <w:t>von Schall, Schattenwurf, Sichtwirkung, Baufolgen und Umweltgefahren betroffen</w:t>
      </w:r>
      <w:r>
        <w:rPr/>
        <w:t xml:space="preserve"> sind. Zahlreiche Adressen in diesen Ortsteilen werden in den Schall- und Schattenwurftabellen explizit genannt, u.a. </w:t>
      </w:r>
      <w:r>
        <w:rPr>
          <w:rStyle w:val="StrongEmphasis"/>
        </w:rPr>
        <w:t>Bergstraße 71</w:t>
      </w:r>
      <w:r>
        <w:rPr/>
        <w:t xml:space="preserve">, </w:t>
      </w:r>
      <w:r>
        <w:rPr>
          <w:rStyle w:val="StrongEmphasis"/>
        </w:rPr>
        <w:t>Angerweg</w:t>
      </w:r>
      <w:r>
        <w:rPr/>
        <w:t xml:space="preserve">, </w:t>
      </w:r>
      <w:r>
        <w:rPr>
          <w:rStyle w:val="StrongEmphasis"/>
        </w:rPr>
        <w:t>Weinbergsweg</w:t>
      </w:r>
      <w:r>
        <w:rPr/>
        <w:t xml:space="preserve">, </w:t>
      </w:r>
      <w:r>
        <w:rPr>
          <w:rStyle w:val="StrongEmphasis"/>
        </w:rPr>
        <w:t>Birkenweg 9</w:t>
      </w:r>
      <w:r>
        <w:rPr/>
        <w:t xml:space="preserve">, </w:t>
      </w:r>
      <w:r>
        <w:rPr>
          <w:rStyle w:val="StrongEmphasis"/>
        </w:rPr>
        <w:t>Eichenweg 11</w:t>
      </w:r>
      <w:r>
        <w:rPr/>
        <w:t xml:space="preserve">, </w:t>
      </w:r>
      <w:r>
        <w:rPr>
          <w:rStyle w:val="StrongEmphasis"/>
        </w:rPr>
        <w:t>Steinhausen 1</w:t>
      </w:r>
      <w:r>
        <w:rPr/>
        <w:t>. Die offensichtlichen Quell- und Wassergefahren sind besonders eklatant und die dazu erstellten Gutachten und Untersuchungen entsprechen nicht den rechtlich anerkannten Regeln.</w:t>
      </w:r>
    </w:p>
    <w:p>
      <w:pPr>
        <w:pStyle w:val="HorizontaleLinieuser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1. Unvollständige und fehlerhafte Schallprognosen</w:t>
      </w:r>
    </w:p>
    <w:p>
      <w:pPr>
        <w:pStyle w:val="Heading3"/>
        <w:rPr/>
      </w:pPr>
      <w:r>
        <w:rPr/>
        <w:t xml:space="preserve">Für die geplanten Vestas V172–7.2 MW existieren </w:t>
      </w:r>
      <w:r>
        <w:rPr>
          <w:rStyle w:val="StrongEmphasis"/>
          <w:b w:val="false"/>
          <w:bCs w:val="false"/>
        </w:rPr>
        <w:t>keine realen Schallmessdaten</w:t>
      </w:r>
      <w:r>
        <w:rPr/>
        <w:t>.</w:t>
        <w:br/>
        <w:t>Verwendet wurden lediglich Herstellerangaben.</w:t>
      </w:r>
    </w:p>
    <w:p>
      <w:pPr>
        <w:pStyle w:val="Textbody"/>
        <w:rPr/>
      </w:pPr>
      <w:r>
        <w:rPr/>
        <w:t>Das ist rechtlich nicht zulässig: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Emphasis"/>
        </w:rPr>
        <w:t>OVG NRW 8 B 2179/18:</w:t>
      </w:r>
      <w:r>
        <w:rPr/>
        <w:t xml:space="preserve"> Prototyp = unsichere Prognose → unbrauchbar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Emphasis"/>
        </w:rPr>
        <w:t>OVG Schleswig 1 LA 59/20:</w:t>
      </w:r>
      <w:r>
        <w:rPr/>
        <w:t xml:space="preserve"> Herstellerdaten reichen nicht</w:t>
      </w:r>
    </w:p>
    <w:p>
      <w:pPr>
        <w:pStyle w:val="Textbody"/>
        <w:numPr>
          <w:ilvl w:val="0"/>
          <w:numId w:val="1"/>
        </w:numPr>
        <w:rPr/>
      </w:pPr>
      <w:r>
        <w:rPr>
          <w:rStyle w:val="StrongEmphasis"/>
        </w:rPr>
        <w:t>BVerwG 7 C 30.06:</w:t>
      </w:r>
      <w:r>
        <w:rPr/>
        <w:t xml:space="preserve"> Vorsorgegrundsatz → bei Unsicherheit keine Genehmigung</w:t>
      </w:r>
    </w:p>
    <w:p>
      <w:pPr>
        <w:pStyle w:val="Textbody"/>
        <w:rPr/>
      </w:pPr>
      <w:r>
        <w:rPr/>
        <w:t xml:space="preserve">Diese Fehler betreffen </w:t>
      </w:r>
      <w:r>
        <w:rPr>
          <w:rStyle w:val="StrongEmphasis"/>
        </w:rPr>
        <w:t>alle Aspacher Ortsteile</w:t>
      </w:r>
      <w:r>
        <w:rPr/>
        <w:t>.</w:t>
      </w:r>
    </w:p>
    <w:p>
      <w:pPr>
        <w:pStyle w:val="HorizontaleLinieuser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2. Schattenwurf – massive Überschreitungen in mehreren Ortsteilen</w:t>
      </w:r>
    </w:p>
    <w:p>
      <w:pPr>
        <w:pStyle w:val="Textbody"/>
        <w:rPr/>
      </w:pPr>
      <w:r>
        <w:rPr/>
        <w:t>Die Tabellen zeigen:</w:t>
      </w:r>
    </w:p>
    <w:p>
      <w:pPr>
        <w:pStyle w:val="Textbody"/>
        <w:numPr>
          <w:ilvl w:val="0"/>
          <w:numId w:val="2"/>
        </w:numPr>
        <w:rPr/>
      </w:pPr>
      <w:r>
        <w:rPr/>
        <w:t xml:space="preserve">deutliche Überschreitungen in </w:t>
      </w:r>
      <w:r>
        <w:rPr>
          <w:rStyle w:val="StrongEmphasis"/>
        </w:rPr>
        <w:t>Altersberg</w:t>
      </w:r>
      <w:r>
        <w:rPr/>
        <w:t xml:space="preserve"> (Bergstraße 71)</w:t>
      </w:r>
    </w:p>
    <w:p>
      <w:pPr>
        <w:pStyle w:val="Textbody"/>
        <w:numPr>
          <w:ilvl w:val="0"/>
          <w:numId w:val="2"/>
        </w:numPr>
        <w:rPr/>
      </w:pPr>
      <w:r>
        <w:rPr/>
        <w:t xml:space="preserve">hohe Belastung in </w:t>
      </w:r>
      <w:r>
        <w:rPr>
          <w:rStyle w:val="StrongEmphasis"/>
        </w:rPr>
        <w:t>Kurzach</w:t>
      </w:r>
      <w:r>
        <w:rPr/>
        <w:t xml:space="preserve"> (Winterlauterstraße)</w:t>
      </w:r>
    </w:p>
    <w:p>
      <w:pPr>
        <w:pStyle w:val="Textbody"/>
        <w:numPr>
          <w:ilvl w:val="0"/>
          <w:numId w:val="2"/>
        </w:numPr>
        <w:rPr/>
      </w:pPr>
      <w:r>
        <w:rPr/>
        <w:t xml:space="preserve">Belastungen für </w:t>
      </w:r>
      <w:r>
        <w:rPr>
          <w:rStyle w:val="StrongEmphasis"/>
        </w:rPr>
        <w:t>Warthof</w:t>
      </w:r>
      <w:r>
        <w:rPr/>
        <w:t xml:space="preserve">, </w:t>
      </w:r>
      <w:r>
        <w:rPr>
          <w:rStyle w:val="StrongEmphasis"/>
        </w:rPr>
        <w:t>Nassach</w:t>
      </w:r>
      <w:r>
        <w:rPr/>
        <w:t xml:space="preserve">, </w:t>
      </w:r>
      <w:r>
        <w:rPr>
          <w:rStyle w:val="StrongEmphasis"/>
        </w:rPr>
        <w:t>Jux</w:t>
      </w:r>
    </w:p>
    <w:p>
      <w:pPr>
        <w:pStyle w:val="Textbody"/>
        <w:rPr/>
      </w:pPr>
      <w:r>
        <w:rPr/>
        <w:t xml:space="preserve">→ </w:t>
      </w:r>
      <w:r>
        <w:rPr/>
        <w:t>Ohne Abschaltung wären alle Grenzwerte überschritten.</w:t>
        <w:br/>
        <w:t>→ Auch mit Abschaltung fehlen Nachweise der Funktionsfähigkeit.</w:t>
        <w:br/>
        <w:t>→ Meteorologie nicht simulierter Bestandteil der Prognose.</w:t>
      </w:r>
    </w:p>
    <w:p>
      <w:pPr>
        <w:pStyle w:val="Textbody"/>
        <w:rPr/>
      </w:pPr>
      <w:r>
        <w:rPr/>
        <w:t xml:space="preserve">Damit ist die Schattenprognose </w:t>
      </w:r>
      <w:r>
        <w:rPr>
          <w:rStyle w:val="StrongEmphasis"/>
        </w:rPr>
        <w:t>rechtlich unbrauchbar</w:t>
      </w:r>
      <w:r>
        <w:rPr/>
        <w:t>.</w:t>
      </w:r>
    </w:p>
    <w:p>
      <w:pPr>
        <w:pStyle w:val="HorizontaleLinieuser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3. Massive Waldrodung – § 9 LWaldG wird verletzt</w:t>
      </w:r>
    </w:p>
    <w:p>
      <w:pPr>
        <w:pStyle w:val="Textbody"/>
        <w:rPr/>
      </w:pPr>
      <w:r>
        <w:rPr/>
        <w:t xml:space="preserve">Die Rodung von </w:t>
      </w:r>
      <w:r>
        <w:rPr>
          <w:rStyle w:val="StrongEmphasis"/>
        </w:rPr>
        <w:t>5,5 ha dauerhaftem Wald</w:t>
      </w:r>
      <w:r>
        <w:rPr/>
        <w:t xml:space="preserve"> + </w:t>
      </w:r>
      <w:r>
        <w:rPr>
          <w:rStyle w:val="StrongEmphasis"/>
        </w:rPr>
        <w:t>über 4 ha temporärer Rodung</w:t>
      </w:r>
      <w:r>
        <w:rPr/>
        <w:t xml:space="preserve"> ist laut LWaldG nur zulässig, wenn:</w:t>
      </w:r>
    </w:p>
    <w:p>
      <w:pPr>
        <w:pStyle w:val="Textbody"/>
        <w:numPr>
          <w:ilvl w:val="0"/>
          <w:numId w:val="3"/>
        </w:numPr>
        <w:rPr/>
      </w:pPr>
      <w:r>
        <w:rPr/>
        <w:t>keine Alternative besteht,</w:t>
      </w:r>
    </w:p>
    <w:p>
      <w:pPr>
        <w:pStyle w:val="Textbody"/>
        <w:numPr>
          <w:ilvl w:val="0"/>
          <w:numId w:val="3"/>
        </w:numPr>
        <w:rPr/>
      </w:pPr>
      <w:r>
        <w:rPr/>
        <w:t>der Eingriff unvermeidbar ist,</w:t>
      </w:r>
    </w:p>
    <w:p>
      <w:pPr>
        <w:pStyle w:val="Textbody"/>
        <w:numPr>
          <w:ilvl w:val="0"/>
          <w:numId w:val="3"/>
        </w:numPr>
        <w:rPr/>
      </w:pPr>
      <w:r>
        <w:rPr/>
        <w:t>die Waldfunktion gleichwertig kompensiert wird.</w:t>
      </w:r>
    </w:p>
    <w:p>
      <w:pPr>
        <w:pStyle w:val="Textbody"/>
        <w:rPr/>
      </w:pPr>
      <w:r>
        <w:rPr/>
        <w:t xml:space="preserve">Alle drei Voraussetzungen sind </w:t>
      </w:r>
      <w:r>
        <w:rPr>
          <w:rStyle w:val="StrongEmphasis"/>
        </w:rPr>
        <w:t>nicht erfüllt</w:t>
      </w:r>
      <w:r>
        <w:rPr/>
        <w:t>.</w:t>
      </w:r>
    </w:p>
    <w:p>
      <w:pPr>
        <w:pStyle w:val="Textbody"/>
        <w:rPr/>
      </w:pPr>
      <w:r>
        <w:rPr/>
        <w:t>Ein derart massiver Waldverlust wirkt sich auf:</w:t>
      </w:r>
    </w:p>
    <w:p>
      <w:pPr>
        <w:pStyle w:val="Textbody"/>
        <w:numPr>
          <w:ilvl w:val="0"/>
          <w:numId w:val="4"/>
        </w:numPr>
        <w:rPr/>
      </w:pPr>
      <w:r>
        <w:rPr/>
        <w:t>Klima</w:t>
      </w:r>
    </w:p>
    <w:p>
      <w:pPr>
        <w:pStyle w:val="Textbody"/>
        <w:numPr>
          <w:ilvl w:val="0"/>
          <w:numId w:val="4"/>
        </w:numPr>
        <w:rPr/>
      </w:pPr>
      <w:r>
        <w:rPr/>
        <w:t>Wasserhaushalt</w:t>
      </w:r>
    </w:p>
    <w:p>
      <w:pPr>
        <w:pStyle w:val="Textbody"/>
        <w:numPr>
          <w:ilvl w:val="0"/>
          <w:numId w:val="4"/>
        </w:numPr>
        <w:rPr/>
      </w:pPr>
      <w:r>
        <w:rPr/>
        <w:t>Schallausbreitung</w:t>
      </w:r>
    </w:p>
    <w:p>
      <w:pPr>
        <w:pStyle w:val="Textbody"/>
        <w:numPr>
          <w:ilvl w:val="0"/>
          <w:numId w:val="4"/>
        </w:numPr>
        <w:rPr/>
      </w:pPr>
      <w:r>
        <w:rPr/>
        <w:t>Artenvielfalt</w:t>
      </w:r>
    </w:p>
    <w:p>
      <w:pPr>
        <w:pStyle w:val="Textbody"/>
        <w:rPr/>
      </w:pPr>
      <w:r>
        <w:rPr/>
        <w:t>erheblich aus.</w:t>
      </w:r>
    </w:p>
    <w:p>
      <w:pPr>
        <w:pStyle w:val="HorizontaleLinieuser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4. Quell- und Wassergefahren – vorliegende hydrogeologische Gutachten sind unzureichend und entsprechen nicht den Technischen Regeln (DVGW W 115)</w:t>
      </w:r>
    </w:p>
    <w:p>
      <w:pPr>
        <w:pStyle w:val="Textbody"/>
        <w:rPr/>
      </w:pPr>
      <w:r>
        <w:rPr/>
        <w:t>In den Antragsunterlagen sind mehrere hydrogeologische Gutachten enthalten.</w:t>
        <w:br/>
        <w:t xml:space="preserve">Diese Gutachten </w:t>
      </w:r>
      <w:r>
        <w:rPr>
          <w:rStyle w:val="StrongEmphasis"/>
        </w:rPr>
        <w:t>fehlen also nicht</w:t>
      </w:r>
      <w:r>
        <w:rPr/>
        <w:t xml:space="preserve">, sind jedoch </w:t>
      </w:r>
      <w:r>
        <w:rPr>
          <w:rStyle w:val="StrongEmphasis"/>
        </w:rPr>
        <w:t>methodisch unzureichend</w:t>
      </w:r>
      <w:r>
        <w:rPr/>
        <w:t xml:space="preserve">, </w:t>
      </w:r>
      <w:r>
        <w:rPr>
          <w:rStyle w:val="StrongEmphasis"/>
        </w:rPr>
        <w:t>unzutreffend hergeleitet</w:t>
      </w:r>
      <w:r>
        <w:rPr/>
        <w:t xml:space="preserve">, </w:t>
      </w:r>
      <w:r>
        <w:rPr>
          <w:rStyle w:val="StrongEmphasis"/>
        </w:rPr>
        <w:t>unzureichend plausibilisiert</w:t>
      </w:r>
      <w:r>
        <w:rPr/>
        <w:t xml:space="preserve"> und entsprechen </w:t>
      </w:r>
      <w:r>
        <w:rPr>
          <w:rStyle w:val="StrongEmphasis"/>
        </w:rPr>
        <w:t>nicht den anerkannten Regeln der Technik</w:t>
      </w:r>
      <w:r>
        <w:rPr/>
        <w:t>, insbesondere **nicht der DVGW-Arbeitsblatt W 115 („Richtlinie zur Erkundung und Bewertung von Grundwasser- und Quellvorkommen“) **.</w:t>
      </w:r>
    </w:p>
    <w:p>
      <w:pPr>
        <w:pStyle w:val="Textbody"/>
        <w:rPr/>
      </w:pPr>
      <w:r>
        <w:rPr/>
        <w:t xml:space="preserve">Die festgestellten Mängel sind </w:t>
      </w:r>
      <w:r>
        <w:rPr>
          <w:rStyle w:val="StrongEmphasis"/>
        </w:rPr>
        <w:t>rechtlich erheblich</w:t>
      </w:r>
      <w:r>
        <w:rPr/>
        <w:t>, da sie die wasserrechtliche Bewertung unmittelbar betreffen.</w:t>
      </w:r>
    </w:p>
    <w:p>
      <w:pPr>
        <w:pStyle w:val="Heading3"/>
        <w:spacing w:lineRule="auto" w:line="276" w:before="0" w:after="140"/>
        <w:rPr/>
      </w:pPr>
      <w:r>
        <w:rPr/>
      </w:r>
    </w:p>
    <w:p>
      <w:pPr>
        <w:pStyle w:val="Heading3"/>
        <w:spacing w:lineRule="auto" w:line="276" w:before="0" w:after="140"/>
        <w:rPr/>
      </w:pPr>
      <w:r>
        <w:rPr>
          <w:rStyle w:val="StrongEmphasis"/>
          <w:b w:val="false"/>
          <w:bCs w:val="false"/>
        </w:rPr>
        <w:t>Konkrete Mängel:</w:t>
      </w:r>
    </w:p>
    <w:p>
      <w:pPr>
        <w:pStyle w:val="Heading3"/>
        <w:spacing w:lineRule="auto" w:line="276" w:before="0" w:after="140"/>
        <w:rPr/>
      </w:pPr>
      <w:r>
        <w:rPr>
          <w:rStyle w:val="StrongEmphasis"/>
          <w:b w:val="false"/>
          <w:bCs w:val="false"/>
        </w:rPr>
        <w:t>4.a) Methodische Verstöße gegen DVGW W 115</w:t>
      </w:r>
    </w:p>
    <w:p>
      <w:pPr>
        <w:pStyle w:val="Textbody"/>
        <w:rPr/>
      </w:pPr>
      <w:r>
        <w:rPr/>
        <w:t>Die Gutachten weisen u. a. folgende Defizite auf:</w:t>
      </w:r>
    </w:p>
    <w:p>
      <w:pPr>
        <w:pStyle w:val="Textbody"/>
        <w:numPr>
          <w:ilvl w:val="0"/>
          <w:numId w:val="5"/>
        </w:numPr>
        <w:rPr/>
      </w:pPr>
      <w:r>
        <w:rPr/>
        <w:t xml:space="preserve">fehlende oder unzureichende </w:t>
      </w:r>
      <w:r>
        <w:rPr>
          <w:rStyle w:val="StrongEmphasis"/>
        </w:rPr>
        <w:t>hydrogeologische Modellierung</w:t>
      </w:r>
      <w:r>
        <w:rPr/>
        <w:t xml:space="preserve"> der Wasserwege,</w:t>
      </w:r>
    </w:p>
    <w:p>
      <w:pPr>
        <w:pStyle w:val="Textbody"/>
        <w:numPr>
          <w:ilvl w:val="0"/>
          <w:numId w:val="5"/>
        </w:numPr>
        <w:rPr/>
      </w:pPr>
      <w:r>
        <w:rPr/>
        <w:t xml:space="preserve">keine </w:t>
      </w:r>
      <w:r>
        <w:rPr>
          <w:rStyle w:val="StrongEmphasis"/>
        </w:rPr>
        <w:t>Quantifizierung der Quellschüttung</w:t>
      </w:r>
      <w:r>
        <w:rPr/>
        <w:t>,</w:t>
      </w:r>
    </w:p>
    <w:p>
      <w:pPr>
        <w:pStyle w:val="Textbody"/>
        <w:numPr>
          <w:ilvl w:val="0"/>
          <w:numId w:val="5"/>
        </w:numPr>
        <w:rPr/>
      </w:pPr>
      <w:r>
        <w:rPr/>
        <w:t xml:space="preserve">keine </w:t>
      </w:r>
      <w:r>
        <w:rPr>
          <w:rStyle w:val="StrongEmphasis"/>
        </w:rPr>
        <w:t>Erfassung der jahreszeitlichen Variabilität</w:t>
      </w:r>
      <w:r>
        <w:rPr/>
        <w:t>,</w:t>
      </w:r>
    </w:p>
    <w:p>
      <w:pPr>
        <w:pStyle w:val="Textbody"/>
        <w:numPr>
          <w:ilvl w:val="0"/>
          <w:numId w:val="5"/>
        </w:numPr>
        <w:rPr/>
      </w:pPr>
      <w:r>
        <w:rPr/>
        <w:t xml:space="preserve">keine </w:t>
      </w:r>
      <w:r>
        <w:rPr>
          <w:rStyle w:val="StrongEmphasis"/>
        </w:rPr>
        <w:t>Erkundung der Klüftigkeit</w:t>
      </w:r>
      <w:r>
        <w:rPr/>
        <w:t xml:space="preserve"> der Festgesteine,</w:t>
      </w:r>
    </w:p>
    <w:p>
      <w:pPr>
        <w:pStyle w:val="Textbody"/>
        <w:numPr>
          <w:ilvl w:val="0"/>
          <w:numId w:val="5"/>
        </w:numPr>
        <w:rPr/>
      </w:pPr>
      <w:r>
        <w:rPr/>
        <w:t xml:space="preserve">keine </w:t>
      </w:r>
      <w:r>
        <w:rPr>
          <w:rStyle w:val="StrongEmphasis"/>
        </w:rPr>
        <w:t>Berechnung der Druck- und Erschütterungsausbreitung</w:t>
      </w:r>
      <w:r>
        <w:rPr/>
        <w:t xml:space="preserve"> durch Tiefgründung,</w:t>
      </w:r>
    </w:p>
    <w:p>
      <w:pPr>
        <w:pStyle w:val="Textbody"/>
        <w:numPr>
          <w:ilvl w:val="0"/>
          <w:numId w:val="5"/>
        </w:numPr>
        <w:rPr/>
      </w:pPr>
      <w:r>
        <w:rPr/>
        <w:t xml:space="preserve">keine </w:t>
      </w:r>
      <w:r>
        <w:rPr>
          <w:rStyle w:val="StrongEmphasis"/>
        </w:rPr>
        <w:t>Gefährdungsabschätzung für Störungen von Grundwasserleitern</w:t>
      </w:r>
      <w:r>
        <w:rPr/>
        <w:t>,</w:t>
      </w:r>
    </w:p>
    <w:p>
      <w:pPr>
        <w:pStyle w:val="Textbody"/>
        <w:numPr>
          <w:ilvl w:val="0"/>
          <w:numId w:val="5"/>
        </w:numPr>
        <w:rPr/>
      </w:pPr>
      <w:r>
        <w:rPr/>
        <w:t xml:space="preserve">fehlende </w:t>
      </w:r>
      <w:r>
        <w:rPr>
          <w:rStyle w:val="StrongEmphasis"/>
        </w:rPr>
        <w:t>Darlegung des Störpotenzials durch Eintrag von Beton/Feinstoffen</w:t>
      </w:r>
      <w:r>
        <w:rPr/>
        <w:t xml:space="preserve"> während der Bauphase.</w:t>
      </w:r>
    </w:p>
    <w:p>
      <w:pPr>
        <w:pStyle w:val="Textbody"/>
        <w:rPr/>
      </w:pPr>
      <w:r>
        <w:rPr/>
        <w:t xml:space="preserve">Diese Versäumnisse stehen </w:t>
      </w:r>
      <w:r>
        <w:rPr>
          <w:rStyle w:val="StrongEmphasis"/>
        </w:rPr>
        <w:t>im klaren Widerspruch zu den Mindestanforderungen</w:t>
      </w:r>
      <w:r>
        <w:rPr/>
        <w:t xml:space="preserve"> der DVGW W 115, die bei Windkraftvorhaben regelmäßig als „anerkannte Regel der Technik“ herangezogen wird.</w:t>
      </w:r>
    </w:p>
    <w:p>
      <w:pPr>
        <w:pStyle w:val="HorizontaleLinieuser"/>
        <w:spacing w:lineRule="auto" w:line="276" w:before="0" w:after="140"/>
        <w:rPr/>
      </w:pPr>
      <w:r>
        <w:rPr/>
      </w:r>
    </w:p>
    <w:p>
      <w:pPr>
        <w:pStyle w:val="Heading3"/>
        <w:spacing w:lineRule="auto" w:line="276" w:before="0" w:after="140"/>
        <w:rPr/>
      </w:pPr>
      <w:r>
        <w:rPr>
          <w:rStyle w:val="StrongEmphasis"/>
          <w:b w:val="false"/>
          <w:bCs w:val="false"/>
        </w:rPr>
        <w:t>4.b) Relevante Auswirkungen werden nicht untersucht</w:t>
      </w:r>
    </w:p>
    <w:p>
      <w:pPr>
        <w:pStyle w:val="Textbody"/>
        <w:rPr/>
      </w:pPr>
      <w:r>
        <w:rPr/>
        <w:t xml:space="preserve">Obwohl die Gutachten vorhanden sind, wird zu folgenden wesentlichen Punkten </w:t>
      </w:r>
      <w:r>
        <w:rPr>
          <w:rStyle w:val="StrongEmphasis"/>
        </w:rPr>
        <w:t>keine fachgerechte Aussage getroffen</w:t>
      </w:r>
      <w:r>
        <w:rPr/>
        <w:t>:</w:t>
      </w:r>
    </w:p>
    <w:p>
      <w:pPr>
        <w:pStyle w:val="Textbody"/>
        <w:numPr>
          <w:ilvl w:val="0"/>
          <w:numId w:val="6"/>
        </w:numPr>
        <w:rPr/>
      </w:pPr>
      <w:r>
        <w:rPr/>
        <w:t xml:space="preserve">Risiko einer </w:t>
      </w:r>
      <w:r>
        <w:rPr>
          <w:rStyle w:val="StrongEmphasis"/>
        </w:rPr>
        <w:t>Verlagerung</w:t>
      </w:r>
      <w:r>
        <w:rPr/>
        <w:t xml:space="preserve"> oder </w:t>
      </w:r>
      <w:r>
        <w:rPr>
          <w:rStyle w:val="StrongEmphasis"/>
        </w:rPr>
        <w:t>Reduzierung</w:t>
      </w:r>
      <w:r>
        <w:rPr/>
        <w:t xml:space="preserve"> der Quellschüttung</w:t>
      </w:r>
    </w:p>
    <w:p>
      <w:pPr>
        <w:pStyle w:val="Textbody"/>
        <w:numPr>
          <w:ilvl w:val="0"/>
          <w:numId w:val="6"/>
        </w:numPr>
        <w:rPr/>
      </w:pPr>
      <w:r>
        <w:rPr/>
        <w:t xml:space="preserve">Risiken durch </w:t>
      </w:r>
      <w:r>
        <w:rPr>
          <w:rStyle w:val="StrongEmphasis"/>
        </w:rPr>
        <w:t>Fundamentdruckzonen</w:t>
      </w:r>
    </w:p>
    <w:p>
      <w:pPr>
        <w:pStyle w:val="Textbody"/>
        <w:numPr>
          <w:ilvl w:val="0"/>
          <w:numId w:val="6"/>
        </w:numPr>
        <w:rPr/>
      </w:pPr>
      <w:r>
        <w:rPr/>
        <w:t xml:space="preserve">Risiken durch </w:t>
      </w:r>
      <w:r>
        <w:rPr>
          <w:rStyle w:val="StrongEmphasis"/>
        </w:rPr>
        <w:t>Erschütterungen</w:t>
      </w:r>
      <w:r>
        <w:rPr/>
        <w:t xml:space="preserve"> während der Bauphase (Rammeinwirkungen/Betonieren)</w:t>
      </w:r>
    </w:p>
    <w:p>
      <w:pPr>
        <w:pStyle w:val="Textbody"/>
        <w:numPr>
          <w:ilvl w:val="0"/>
          <w:numId w:val="6"/>
        </w:numPr>
        <w:rPr/>
      </w:pPr>
      <w:r>
        <w:rPr/>
        <w:t xml:space="preserve">Risiko von </w:t>
      </w:r>
      <w:r>
        <w:rPr>
          <w:rStyle w:val="StrongEmphasis"/>
        </w:rPr>
        <w:t>Hydraulikbrüchen</w:t>
      </w:r>
      <w:r>
        <w:rPr/>
        <w:t xml:space="preserve"> in Störungszonen</w:t>
      </w:r>
    </w:p>
    <w:p>
      <w:pPr>
        <w:pStyle w:val="Textbody"/>
        <w:numPr>
          <w:ilvl w:val="0"/>
          <w:numId w:val="6"/>
        </w:numPr>
        <w:rPr/>
      </w:pPr>
      <w:r>
        <w:rPr/>
        <w:t xml:space="preserve">Risiken für </w:t>
      </w:r>
      <w:r>
        <w:rPr>
          <w:rStyle w:val="StrongEmphasis"/>
        </w:rPr>
        <w:t>diffuse Grundwasserspeicher</w:t>
      </w:r>
      <w:r>
        <w:rPr/>
        <w:t xml:space="preserve"> in Hanglagen</w:t>
      </w:r>
    </w:p>
    <w:p>
      <w:pPr>
        <w:pStyle w:val="Textbody"/>
        <w:numPr>
          <w:ilvl w:val="0"/>
          <w:numId w:val="6"/>
        </w:numPr>
        <w:rPr/>
      </w:pPr>
      <w:r>
        <w:rPr/>
        <w:t xml:space="preserve">Auswirkungen auf </w:t>
      </w:r>
      <w:r>
        <w:rPr>
          <w:rStyle w:val="StrongEmphasis"/>
        </w:rPr>
        <w:t>flächenhafte Grundwasserneubildung</w:t>
      </w:r>
      <w:r>
        <w:rPr/>
        <w:t xml:space="preserve"> im Rodungsbereich</w:t>
      </w:r>
    </w:p>
    <w:p>
      <w:pPr>
        <w:pStyle w:val="Textbody"/>
        <w:rPr/>
      </w:pPr>
      <w:r>
        <w:rPr/>
        <w:t>Damit sind zentrale Elemente der wasserfachlichen Bewertung nicht erfüllt.</w:t>
      </w:r>
    </w:p>
    <w:p>
      <w:pPr>
        <w:pStyle w:val="HorizontaleLinieuser"/>
        <w:spacing w:lineRule="auto" w:line="276" w:before="0" w:after="140"/>
        <w:rPr/>
      </w:pPr>
      <w:r>
        <w:rPr/>
      </w:r>
    </w:p>
    <w:p>
      <w:pPr>
        <w:pStyle w:val="Heading3"/>
        <w:spacing w:lineRule="auto" w:line="276" w:before="0" w:after="140"/>
        <w:rPr/>
      </w:pPr>
      <w:r>
        <w:rPr>
          <w:rStyle w:val="StrongEmphasis"/>
          <w:b w:val="false"/>
          <w:bCs w:val="false"/>
        </w:rPr>
        <w:t>4.c) Rechtsfolge nach Wasserrecht</w:t>
      </w:r>
    </w:p>
    <w:p>
      <w:pPr>
        <w:pStyle w:val="Textbody"/>
        <w:rPr/>
      </w:pPr>
      <w:r>
        <w:rPr/>
        <w:t>Die mangelhafte fachliche Herleitung führt zur Verletzung der gesetzlichen Vorgaben:</w:t>
      </w:r>
    </w:p>
    <w:p>
      <w:pPr>
        <w:pStyle w:val="Heading4"/>
        <w:spacing w:lineRule="auto" w:line="276" w:before="0" w:after="140"/>
        <w:rPr/>
      </w:pPr>
      <w:r>
        <w:rPr>
          <w:rStyle w:val="StrongEmphasis"/>
          <w:b w:val="false"/>
          <w:bCs w:val="false"/>
        </w:rPr>
        <w:t>§ 47 WHG – Schutz der Gewässer und ihrer Funktionsfähigkeit</w:t>
      </w:r>
    </w:p>
    <w:p>
      <w:pPr>
        <w:pStyle w:val="Textbody"/>
        <w:rPr/>
      </w:pPr>
      <w:r>
        <w:rPr/>
        <w:t xml:space="preserve">Bereits eine </w:t>
      </w:r>
      <w:r>
        <w:rPr>
          <w:rStyle w:val="StrongEmphasis"/>
        </w:rPr>
        <w:t>mögliche Gefährdung</w:t>
      </w:r>
      <w:r>
        <w:rPr/>
        <w:t xml:space="preserve"> reicht aus, um eine Genehmigung auszuschließen.</w:t>
        <w:br/>
        <w:t xml:space="preserve">Es ist </w:t>
      </w:r>
      <w:r>
        <w:rPr>
          <w:rStyle w:val="Emphasis"/>
        </w:rPr>
        <w:t>kein tatsächlicher Schaden</w:t>
      </w:r>
      <w:r>
        <w:rPr/>
        <w:t xml:space="preserve"> erforderlich.</w:t>
      </w:r>
    </w:p>
    <w:p>
      <w:pPr>
        <w:pStyle w:val="Heading4"/>
        <w:spacing w:lineRule="auto" w:line="276" w:before="0" w:after="140"/>
        <w:rPr/>
      </w:pPr>
      <w:r>
        <w:rPr>
          <w:rStyle w:val="StrongEmphasis"/>
          <w:b w:val="false"/>
          <w:bCs w:val="false"/>
        </w:rPr>
        <w:t>§ 5 Abs. 1 Nr. 1 und 2 BImSchG – Vorsorgegrundsatz</w:t>
      </w:r>
    </w:p>
    <w:p>
      <w:pPr>
        <w:pStyle w:val="Textbody"/>
        <w:rPr/>
      </w:pPr>
      <w:r>
        <w:rPr/>
        <w:t xml:space="preserve">Die Behörde darf eine Genehmigung nur erteilen, wenn </w:t>
      </w:r>
      <w:r>
        <w:rPr>
          <w:rStyle w:val="StrongEmphasis"/>
        </w:rPr>
        <w:t>gesicherte wissenschaftliche Erkenntnisse</w:t>
      </w:r>
      <w:r>
        <w:rPr/>
        <w:t xml:space="preserve"> belegen,</w:t>
        <w:br/>
        <w:t xml:space="preserve">dass </w:t>
      </w:r>
      <w:r>
        <w:rPr>
          <w:rStyle w:val="StrongEmphasis"/>
        </w:rPr>
        <w:t>keine nachteiligen Auswirkungen</w:t>
      </w:r>
      <w:r>
        <w:rPr/>
        <w:t xml:space="preserve"> zu erwarten sind.</w:t>
      </w:r>
    </w:p>
    <w:p>
      <w:pPr>
        <w:pStyle w:val="Textbody"/>
        <w:rPr/>
      </w:pPr>
      <w:r>
        <w:rPr/>
        <w:t xml:space="preserve">→ </w:t>
      </w:r>
      <w:r>
        <w:rPr>
          <w:rStyle w:val="StrongEmphasis"/>
        </w:rPr>
        <w:t>Dies ist mangels regelgerechter hydrogeologischer Prüfung unmöglich.</w:t>
      </w:r>
    </w:p>
    <w:p>
      <w:pPr>
        <w:pStyle w:val="Heading4"/>
        <w:spacing w:lineRule="auto" w:line="276" w:before="0" w:after="140"/>
        <w:rPr/>
      </w:pPr>
      <w:r>
        <w:rPr>
          <w:rStyle w:val="StrongEmphasis"/>
          <w:b w:val="false"/>
          <w:bCs w:val="false"/>
        </w:rPr>
        <w:t>VGH BW, ständige Rechtsprechung:</w:t>
      </w:r>
    </w:p>
    <w:p>
      <w:pPr>
        <w:pStyle w:val="Textbody"/>
        <w:rPr/>
      </w:pPr>
      <w:r>
        <w:rPr/>
        <w:t xml:space="preserve">Ein Gutachten, das nicht den anerkannten Regeln der Technik entspricht, ist </w:t>
      </w:r>
      <w:r>
        <w:rPr>
          <w:rStyle w:val="StrongEmphasis"/>
        </w:rPr>
        <w:t>nicht verwertbar</w:t>
      </w:r>
      <w:r>
        <w:rPr/>
        <w:t>.</w:t>
        <w:br/>
        <w:t>(10 S 932/15; 10 S 2182/19)</w:t>
      </w:r>
    </w:p>
    <w:p>
      <w:pPr>
        <w:pStyle w:val="HorizontaleLinieuser"/>
        <w:spacing w:lineRule="auto" w:line="276" w:before="0" w:after="140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4.d) Zusammenfassung der rechtlichen Wirkung</w:t>
      </w:r>
    </w:p>
    <w:p>
      <w:pPr>
        <w:pStyle w:val="Textbody"/>
        <w:rPr/>
      </w:pPr>
      <w:r>
        <w:rPr/>
        <w:t>Die Gutachten sind vorhanden, aber:</w:t>
      </w:r>
    </w:p>
    <w:p>
      <w:pPr>
        <w:pStyle w:val="Textbody"/>
        <w:numPr>
          <w:ilvl w:val="0"/>
          <w:numId w:val="7"/>
        </w:numPr>
        <w:rPr/>
      </w:pPr>
      <w:r>
        <w:rPr>
          <w:rStyle w:val="StrongEmphasis"/>
        </w:rPr>
        <w:t>methodisch falsch</w:t>
      </w:r>
      <w:r>
        <w:rPr/>
        <w:t>,</w:t>
      </w:r>
    </w:p>
    <w:p>
      <w:pPr>
        <w:pStyle w:val="Textbody"/>
        <w:numPr>
          <w:ilvl w:val="0"/>
          <w:numId w:val="7"/>
        </w:numPr>
        <w:rPr/>
      </w:pPr>
      <w:r>
        <w:rPr>
          <w:rStyle w:val="StrongEmphasis"/>
        </w:rPr>
        <w:t>nicht regelkonform</w:t>
      </w:r>
      <w:r>
        <w:rPr/>
        <w:t>,</w:t>
      </w:r>
    </w:p>
    <w:p>
      <w:pPr>
        <w:pStyle w:val="Textbody"/>
        <w:numPr>
          <w:ilvl w:val="0"/>
          <w:numId w:val="7"/>
        </w:numPr>
        <w:rPr/>
      </w:pPr>
      <w:r>
        <w:rPr>
          <w:rStyle w:val="StrongEmphasis"/>
        </w:rPr>
        <w:t>wesentliche Bewertungsparameter fehlen</w:t>
      </w:r>
      <w:r>
        <w:rPr/>
        <w:t>,</w:t>
      </w:r>
    </w:p>
    <w:p>
      <w:pPr>
        <w:pStyle w:val="Textbody"/>
        <w:numPr>
          <w:ilvl w:val="0"/>
          <w:numId w:val="7"/>
        </w:numPr>
        <w:rPr/>
      </w:pPr>
      <w:r>
        <w:rPr>
          <w:rStyle w:val="StrongEmphasis"/>
        </w:rPr>
        <w:t>wasserrechtliche Risiken bleiben ungeprüft</w:t>
      </w:r>
      <w:r>
        <w:rPr/>
        <w:t>,</w:t>
      </w:r>
    </w:p>
    <w:p>
      <w:pPr>
        <w:pStyle w:val="Textbody"/>
        <w:numPr>
          <w:ilvl w:val="0"/>
          <w:numId w:val="7"/>
        </w:numPr>
        <w:rPr/>
      </w:pPr>
      <w:r>
        <w:rPr>
          <w:rStyle w:val="StrongEmphasis"/>
        </w:rPr>
        <w:t>rechtlich unbrauchbar</w:t>
      </w:r>
      <w:r>
        <w:rPr/>
        <w:t>.</w:t>
      </w:r>
    </w:p>
    <w:p>
      <w:pPr>
        <w:pStyle w:val="Textbody"/>
        <w:rPr/>
      </w:pPr>
      <w:r>
        <w:rPr/>
        <w:t xml:space="preserve">Damit ist der wasserrechtliche Teil der Antragsunterlagen </w:t>
      </w:r>
      <w:r>
        <w:rPr>
          <w:rStyle w:val="StrongEmphasis"/>
        </w:rPr>
        <w:t>nicht genehmigungsfähig</w:t>
      </w:r>
      <w:r>
        <w:rPr/>
        <w:t>.</w:t>
      </w:r>
    </w:p>
    <w:p>
      <w:pPr>
        <w:pStyle w:val="Textbody"/>
        <w:rPr/>
      </w:pPr>
      <w:r>
        <w:rPr/>
      </w:r>
    </w:p>
    <w:p>
      <w:pPr>
        <w:pStyle w:val="HorizontaleLinieuser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5. Fehlerhafte oder unvollständige Umweltverträglichkeitsprüfung</w:t>
      </w:r>
    </w:p>
    <w:p>
      <w:pPr>
        <w:pStyle w:val="Textbody"/>
        <w:rPr/>
      </w:pPr>
      <w:r>
        <w:rPr/>
        <w:t>Die UVP verstößt gegen § 8 UVPG, weil:</w:t>
      </w:r>
    </w:p>
    <w:p>
      <w:pPr>
        <w:pStyle w:val="Textbody"/>
        <w:numPr>
          <w:ilvl w:val="0"/>
          <w:numId w:val="8"/>
        </w:numPr>
        <w:rPr/>
      </w:pPr>
      <w:r>
        <w:rPr>
          <w:rStyle w:val="StrongEmphasis"/>
        </w:rPr>
        <w:t>kumulative Wirkungen nicht betrachtet</w:t>
      </w:r>
      <w:r>
        <w:rPr/>
        <w:t xml:space="preserve"> wurden</w:t>
      </w:r>
    </w:p>
    <w:p>
      <w:pPr>
        <w:pStyle w:val="Textbody"/>
        <w:numPr>
          <w:ilvl w:val="0"/>
          <w:numId w:val="8"/>
        </w:numPr>
        <w:rPr/>
      </w:pPr>
      <w:r>
        <w:rPr/>
        <w:t>Kombination „Rodung + Schall + Wasser + Artenschutz“ fehlt</w:t>
      </w:r>
    </w:p>
    <w:p>
      <w:pPr>
        <w:pStyle w:val="Textbody"/>
        <w:numPr>
          <w:ilvl w:val="0"/>
          <w:numId w:val="8"/>
        </w:numPr>
        <w:rPr/>
      </w:pPr>
      <w:r>
        <w:rPr/>
        <w:t>Alternativenprüfung unzureichend</w:t>
      </w:r>
    </w:p>
    <w:p>
      <w:pPr>
        <w:pStyle w:val="Textbody"/>
        <w:numPr>
          <w:ilvl w:val="0"/>
          <w:numId w:val="8"/>
        </w:numPr>
        <w:rPr/>
      </w:pPr>
      <w:r>
        <w:rPr/>
        <w:t>Landschaftsbildbewertung unvollständig</w:t>
      </w:r>
    </w:p>
    <w:p>
      <w:pPr>
        <w:pStyle w:val="Textbody"/>
        <w:numPr>
          <w:ilvl w:val="0"/>
          <w:numId w:val="8"/>
        </w:numPr>
        <w:rPr/>
      </w:pPr>
      <w:r>
        <w:rPr/>
        <w:t>Artenschutz nicht ausreichend untersucht</w:t>
      </w:r>
    </w:p>
    <w:p>
      <w:pPr>
        <w:pStyle w:val="Textbody"/>
        <w:rPr/>
      </w:pPr>
      <w:r>
        <w:rPr/>
        <w:t>Damit ist das Gesamtverfahren angreifbar.</w:t>
      </w:r>
    </w:p>
    <w:p>
      <w:pPr>
        <w:pStyle w:val="HorizontaleLinieuser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6. Artenschutz – mehrere besonders kollisionsgefährdete Arten betroffen</w:t>
      </w:r>
    </w:p>
    <w:p>
      <w:pPr>
        <w:pStyle w:val="Textbody"/>
        <w:rPr/>
      </w:pPr>
      <w:r>
        <w:rPr/>
        <w:t>Die Unterlagen sind unvollständig bezüglich:</w:t>
      </w:r>
    </w:p>
    <w:p>
      <w:pPr>
        <w:pStyle w:val="Textbody"/>
        <w:numPr>
          <w:ilvl w:val="0"/>
          <w:numId w:val="9"/>
        </w:numPr>
        <w:rPr/>
      </w:pPr>
      <w:r>
        <w:rPr/>
        <w:t>Rotmilan</w:t>
      </w:r>
    </w:p>
    <w:p>
      <w:pPr>
        <w:pStyle w:val="Textbody"/>
        <w:numPr>
          <w:ilvl w:val="0"/>
          <w:numId w:val="9"/>
        </w:numPr>
        <w:rPr/>
      </w:pPr>
      <w:r>
        <w:rPr/>
        <w:t>Schwarzmilan</w:t>
      </w:r>
    </w:p>
    <w:p>
      <w:pPr>
        <w:pStyle w:val="Textbody"/>
        <w:numPr>
          <w:ilvl w:val="0"/>
          <w:numId w:val="9"/>
        </w:numPr>
        <w:rPr/>
      </w:pPr>
      <w:r>
        <w:rPr/>
        <w:t>Wespenbussard</w:t>
      </w:r>
    </w:p>
    <w:p>
      <w:pPr>
        <w:pStyle w:val="Textbody"/>
        <w:numPr>
          <w:ilvl w:val="0"/>
          <w:numId w:val="9"/>
        </w:numPr>
        <w:rPr/>
      </w:pPr>
      <w:r>
        <w:rPr/>
        <w:t>Baumfalke</w:t>
      </w:r>
    </w:p>
    <w:p>
      <w:pPr>
        <w:pStyle w:val="Textbody"/>
        <w:numPr>
          <w:ilvl w:val="0"/>
          <w:numId w:val="9"/>
        </w:numPr>
        <w:rPr/>
      </w:pPr>
      <w:r>
        <w:rPr/>
        <w:t>Fledermäuse</w:t>
      </w:r>
    </w:p>
    <w:p>
      <w:pPr>
        <w:pStyle w:val="Textbody"/>
        <w:rPr/>
      </w:pPr>
      <w:r>
        <w:rPr/>
        <w:t xml:space="preserve">Nach § 44 BNatSchG gilt ein </w:t>
      </w:r>
      <w:r>
        <w:rPr>
          <w:rStyle w:val="StrongEmphasis"/>
        </w:rPr>
        <w:t>zwingendes Tötungsverbot</w:t>
      </w:r>
      <w:r>
        <w:rPr/>
        <w:t>.</w:t>
        <w:br/>
        <w:t xml:space="preserve">Fehler im Gutachten → </w:t>
      </w:r>
      <w:r>
        <w:rPr>
          <w:rStyle w:val="StrongEmphasis"/>
        </w:rPr>
        <w:t>Genehmigung muss versagt werden</w:t>
      </w:r>
      <w:r>
        <w:rPr/>
        <w:t>.</w:t>
      </w:r>
    </w:p>
    <w:p>
      <w:pPr>
        <w:pStyle w:val="HorizontaleLinieuser"/>
        <w:rPr/>
      </w:pPr>
      <w:r>
        <w:rPr/>
      </w:r>
    </w:p>
    <w:p>
      <w:pPr>
        <w:pStyle w:val="Heading3"/>
        <w:rPr/>
      </w:pPr>
      <w:r>
        <w:rPr>
          <w:rStyle w:val="StrongEmphasis"/>
          <w:b w:val="false"/>
          <w:bCs w:val="false"/>
        </w:rPr>
        <w:t>ANTRAG</w:t>
      </w:r>
    </w:p>
    <w:p>
      <w:pPr>
        <w:pStyle w:val="Textbody"/>
        <w:rPr/>
      </w:pPr>
      <w:r>
        <w:rPr/>
        <w:t>Ich beantrage daher:</w:t>
      </w:r>
    </w:p>
    <w:p>
      <w:pPr>
        <w:pStyle w:val="Textbody"/>
        <w:numPr>
          <w:ilvl w:val="0"/>
          <w:numId w:val="10"/>
        </w:numPr>
        <w:rPr/>
      </w:pPr>
      <w:r>
        <w:rPr/>
        <w:t xml:space="preserve">die </w:t>
      </w:r>
      <w:r>
        <w:rPr>
          <w:rStyle w:val="StrongEmphasis"/>
        </w:rPr>
        <w:t>Ablehnung der Genehmigung</w:t>
      </w:r>
      <w:r>
        <w:rPr/>
        <w:t>, da wesentliche Prüfpflichten verletzt wurden,</w:t>
      </w:r>
    </w:p>
    <w:p>
      <w:pPr>
        <w:pStyle w:val="Textbody"/>
        <w:numPr>
          <w:ilvl w:val="0"/>
          <w:numId w:val="10"/>
        </w:numPr>
        <w:rPr/>
      </w:pPr>
      <w:r>
        <w:rPr/>
        <w:t>hilfsweise eine vollständige Ergänzung aller Gutachten (Schall, Schatten, UVP, Wasser, Artenschutz),</w:t>
      </w:r>
    </w:p>
    <w:p>
      <w:pPr>
        <w:pStyle w:val="Textbody"/>
        <w:numPr>
          <w:ilvl w:val="0"/>
          <w:numId w:val="10"/>
        </w:numPr>
        <w:rPr/>
      </w:pPr>
      <w:r>
        <w:rPr/>
        <w:t>eine anspruchsvolle Einzelfallprüfung für jeden Ortsteil in Aspach.</w:t>
      </w:r>
    </w:p>
    <w:p>
      <w:pPr>
        <w:pStyle w:val="Textbody"/>
        <w:numPr>
          <w:ilvl w:val="0"/>
          <w:numId w:val="10"/>
        </w:numPr>
        <w:rPr/>
      </w:pPr>
      <w:r>
        <w:rPr/>
        <w:t>Eine vollständige Neuerstellung aller hydrogeologischen Gutachten nach DVGW W 115, durch unabhängige Sachverständige.</w:t>
      </w:r>
    </w:p>
    <w:p>
      <w:pPr>
        <w:pStyle w:val="Textbody"/>
        <w:numPr>
          <w:ilvl w:val="0"/>
          <w:numId w:val="10"/>
        </w:numPr>
        <w:rPr/>
      </w:pPr>
      <w:r>
        <w:rPr/>
        <w:t>Eine vollständige Quell- und Grundwasser-Risikoanalyse, insbesondere für WEA 4.</w:t>
      </w:r>
    </w:p>
    <w:p>
      <w:pPr>
        <w:pStyle w:val="Textbody"/>
        <w:numPr>
          <w:ilvl w:val="0"/>
          <w:numId w:val="10"/>
        </w:numPr>
        <w:rPr/>
      </w:pPr>
      <w:r>
        <w:rPr/>
        <w:t>Solange wasserrechtliche Risiken nicht mit höchster Wahrscheinlichkeit ausgeschlossen sind, ist das Vorhaben nach § 47 WHG i. V. m. § 5 BImSchG rechtlich nicht genehmigungsfähig.</w:t>
      </w:r>
    </w:p>
    <w:p>
      <w:pPr>
        <w:pStyle w:val="Textbody"/>
        <w:rPr/>
      </w:pPr>
      <w:r>
        <w:rPr/>
        <w:t>Mit freundlichen Grüßen</w:t>
        <w:b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[Unterschrift / Datum]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134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t>[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/</w:t>
        </w:r>
        <w:r>
          <w:rPr/>
          <w:fldChar w:fldCharType="begin"/>
        </w:r>
        <w:r>
          <w:rPr/>
          <w:instrText xml:space="preserve"> NUMPAGES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]</w:t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t>[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/</w:t>
        </w:r>
        <w:r>
          <w:rPr/>
          <w:fldChar w:fldCharType="begin"/>
        </w:r>
        <w:r>
          <w:rPr/>
          <w:instrText xml:space="preserve"> NUMPAGES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  <w:r>
          <w:rPr/>
          <w:t>]</w:t>
        </w:r>
      </w:p>
      <w:p>
        <w:pPr>
          <w:pStyle w:val="Foo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240" w:after="120"/>
      <w:rPr/>
    </w:pPr>
    <w:r>
      <w:rPr>
        <w:rStyle w:val="StrongEmphasis"/>
        <w:b w:val="false"/>
        <w:bCs w:val="false"/>
        <w:sz w:val="24"/>
        <w:szCs w:val="24"/>
      </w:rPr>
      <w:t>EINWENDUNG – ASPACH (GESAMTGEMEINDE)</w:t>
    </w:r>
  </w:p>
  <w:p>
    <w:pPr>
      <w:pStyle w:val="Textbody"/>
      <w:spacing w:lineRule="auto" w:line="276" w:before="0" w:after="140"/>
      <w:rPr/>
    </w:pPr>
    <w:r>
      <w:rPr/>
      <mc:AlternateContent>
        <mc:Choice Requires="wps">
          <w:drawing>
            <wp:anchor behindDoc="1" distT="6985" distB="6985" distL="6350" distR="6985" simplePos="0" locked="0" layoutInCell="1" allowOverlap="1" relativeHeight="6" wp14:anchorId="77C4FD61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0" t="6985" r="6985" b="6985"/>
              <wp:wrapNone/>
              <wp:docPr id="1" name="Horizontale Lini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1" stroked="t" o:allowincell="f" style="position:absolute" wp14:anchorId="77C4FD61">
              <v:stroke color="#3465a4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before="240" w:after="120"/>
      <w:rPr/>
    </w:pPr>
    <w:r>
      <w:rPr>
        <w:rStyle w:val="StrongEmphasis"/>
        <w:b w:val="false"/>
        <w:bCs w:val="false"/>
        <w:sz w:val="24"/>
        <w:szCs w:val="24"/>
      </w:rPr>
      <w:t>EINWENDUNG – ASPACH (GESAMTGEMEINDE)</w:t>
    </w:r>
  </w:p>
  <w:p>
    <w:pPr>
      <w:pStyle w:val="Textbody"/>
      <w:spacing w:lineRule="auto" w:line="276" w:before="0" w:after="140"/>
      <w:rPr/>
    </w:pPr>
    <w:r>
      <w:rPr/>
      <mc:AlternateContent>
        <mc:Choice Requires="wps">
          <w:drawing>
            <wp:anchor behindDoc="1" distT="6985" distB="6985" distL="6350" distR="6985" simplePos="0" locked="0" layoutInCell="1" allowOverlap="1" relativeHeight="6" wp14:anchorId="77C4FD61">
              <wp:simplePos x="0" y="0"/>
              <wp:positionH relativeFrom="column">
                <wp:posOffset>-6985</wp:posOffset>
              </wp:positionH>
              <wp:positionV relativeFrom="paragraph">
                <wp:posOffset>48895</wp:posOffset>
              </wp:positionV>
              <wp:extent cx="6086475" cy="0"/>
              <wp:effectExtent l="6350" t="6985" r="6985" b="6985"/>
              <wp:wrapNone/>
              <wp:docPr id="2" name="Horizontale Lini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52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55pt,3.85pt" to="478.65pt,3.85pt" ID="Horizontale Linie 1" stroked="t" o:allowincell="f" style="position:absolute" wp14:anchorId="77C4FD61">
              <v:stroke color="#3465a4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0"/>
        </w:tabs>
        <w:ind w:start="709" w:hanging="283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28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127" w:hanging="28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36" w:hanging="28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545" w:hanging="28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254" w:hanging="28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4963" w:hanging="28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5672" w:hanging="28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6381" w:hanging="283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berschriftuser"/>
    <w:next w:val="Textbody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2">
    <w:name w:val="heading 2"/>
    <w:basedOn w:val="berschriftuser"/>
    <w:next w:val="Textbody"/>
    <w:qFormat/>
    <w:p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paragraph" w:styleId="Heading3">
    <w:name w:val="heading 3"/>
    <w:basedOn w:val="berschriftuser"/>
    <w:next w:val="Textbody"/>
    <w:qFormat/>
    <w:pPr>
      <w:spacing w:before="140" w:after="120"/>
      <w:outlineLvl w:val="2"/>
    </w:pPr>
    <w:rPr>
      <w:b/>
      <w:bCs/>
    </w:rPr>
  </w:style>
  <w:style w:type="paragraph" w:styleId="Heading4">
    <w:name w:val="heading 4"/>
    <w:basedOn w:val="berschriftuser"/>
    <w:next w:val="Textbody"/>
    <w:qFormat/>
    <w:pPr>
      <w:spacing w:before="120" w:after="120"/>
      <w:outlineLvl w:val="3"/>
    </w:pPr>
    <w:rPr>
      <w:rFonts w:ascii="Liberation Serif" w:hAnsi="Liberation Serif" w:eastAsia="NSimSu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Emphasis" w:customStyle="1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Aufzhlungszeichenuser" w:customStyle="1">
    <w:name w:val="Aufzählungszeichen (user)"/>
    <w:qFormat/>
    <w:rPr>
      <w:rFonts w:ascii="OpenSymbol" w:hAnsi="OpenSymbol" w:eastAsia="OpenSymbol" w:cs="OpenSymbol"/>
    </w:rPr>
  </w:style>
  <w:style w:type="character" w:styleId="Nummerierungszeichenuser" w:customStyle="1">
    <w:name w:val="Nummerierungszeichen (user)"/>
    <w:qFormat/>
    <w:rPr/>
  </w:style>
  <w:style w:type="character" w:styleId="FuzeileZchn" w:customStyle="1">
    <w:name w:val="Fußzeile Zchn"/>
    <w:basedOn w:val="DefaultParagraphFont"/>
    <w:uiPriority w:val="99"/>
    <w:qFormat/>
    <w:rsid w:val="00bb3ff2"/>
    <w:rPr>
      <w:rFonts w:cs="Mangal"/>
      <w:szCs w:val="21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erschriftuser" w:customStyle="1">
    <w:name w:val="Überschrift (user)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/>
  </w:style>
  <w:style w:type="paragraph" w:styleId="Textbody" w:customStyle="1">
    <w:name w:val="Text body"/>
    <w:basedOn w:val="Normal"/>
    <w:qFormat/>
    <w:pPr>
      <w:spacing w:lineRule="auto" w:line="276" w:before="0" w:after="140"/>
    </w:pPr>
    <w:rPr/>
  </w:style>
  <w:style w:type="paragraph" w:styleId="HorizontaleLinieuser" w:customStyle="1">
    <w:name w:val="Horizontale Linie (user)"/>
    <w:basedOn w:val="Normal"/>
    <w:next w:val="Textbody"/>
    <w:qFormat/>
    <w:pPr>
      <w:suppressLineNumbers/>
      <w:spacing w:before="0" w:after="283"/>
    </w:pPr>
    <w:rPr>
      <w:sz w:val="12"/>
      <w:szCs w:val="12"/>
    </w:rPr>
  </w:style>
  <w:style w:type="paragraph" w:styleId="Kopf-Fuzeileuser" w:customStyle="1">
    <w:name w:val="Kopf-/Fußzeil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Fuzeileuser"/>
    <w:pPr/>
    <w:rPr/>
  </w:style>
  <w:style w:type="paragraph" w:styleId="Footer">
    <w:name w:val="footer"/>
    <w:basedOn w:val="Normal"/>
    <w:link w:val="FuzeileZchn"/>
    <w:uiPriority w:val="99"/>
    <w:unhideWhenUsed/>
    <w:rsid w:val="00bb3ff2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1FA25-B058-4B21-9CED-DB59BF36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Aspach-Allgemein-Entwurf.dotx</Template>
  <TotalTime>0</TotalTime>
  <Application>LibreOffice/25.8.3.2$Windows_X86_64 LibreOffice_project/8ca8d55c161d602844f5428fa4b58097424e324e</Application>
  <AppVersion>15.0000</AppVersion>
  <Pages>5</Pages>
  <Words>875</Words>
  <Characters>6097</Characters>
  <CharactersWithSpaces>6833</CharactersWithSpaces>
  <Paragraphs>104</Paragraphs>
  <Company>telent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2025-12-05T16:08:21Z</dcterms:created>
  <dc:creator/>
  <dc:description/>
  <dc:language>de-DE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